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9A" w:rsidRPr="00A60B2D" w:rsidRDefault="00200E9A" w:rsidP="00200E9A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A60B2D">
        <w:rPr>
          <w:b/>
          <w:sz w:val="28"/>
          <w:szCs w:val="28"/>
          <w:lang w:val="uk-UA"/>
        </w:rPr>
        <w:t xml:space="preserve">Додаток </w:t>
      </w:r>
    </w:p>
    <w:p w:rsidR="00200E9A" w:rsidRPr="00A60B2D" w:rsidRDefault="00200E9A" w:rsidP="00200E9A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до рішення районної </w:t>
      </w:r>
    </w:p>
    <w:p w:rsidR="00200E9A" w:rsidRPr="00A60B2D" w:rsidRDefault="00F9799F" w:rsidP="00200E9A">
      <w:pPr>
        <w:ind w:firstLine="6096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від 12.12.2025 року №413</w:t>
      </w:r>
    </w:p>
    <w:p w:rsidR="00200E9A" w:rsidRPr="00A60B2D" w:rsidRDefault="00200E9A" w:rsidP="00200E9A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</w:p>
    <w:p w:rsidR="00200E9A" w:rsidRPr="00A60B2D" w:rsidRDefault="00200E9A" w:rsidP="00200E9A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Умови </w:t>
      </w:r>
    </w:p>
    <w:p w:rsidR="00200E9A" w:rsidRPr="00047128" w:rsidRDefault="00200E9A" w:rsidP="00200E9A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color w:val="0F0F0F"/>
          <w:sz w:val="28"/>
          <w:szCs w:val="28"/>
          <w:lang w:val="uk-UA"/>
        </w:rPr>
        <w:t xml:space="preserve">оренди </w:t>
      </w:r>
      <w:r w:rsidRPr="00047128">
        <w:rPr>
          <w:b/>
          <w:sz w:val="28"/>
          <w:szCs w:val="28"/>
        </w:rPr>
        <w:t xml:space="preserve">частини даху </w:t>
      </w:r>
      <w:r w:rsidRPr="00047128">
        <w:rPr>
          <w:b/>
          <w:color w:val="0F0F0F"/>
          <w:sz w:val="28"/>
          <w:szCs w:val="28"/>
        </w:rPr>
        <w:t xml:space="preserve">загальною </w:t>
      </w:r>
      <w:r w:rsidRPr="00047128">
        <w:rPr>
          <w:b/>
          <w:color w:val="1A1A1A"/>
          <w:sz w:val="28"/>
          <w:szCs w:val="28"/>
        </w:rPr>
        <w:t xml:space="preserve">площею </w:t>
      </w:r>
      <w:r w:rsidRPr="00047128">
        <w:rPr>
          <w:b/>
          <w:color w:val="1D1D1D"/>
          <w:sz w:val="28"/>
          <w:szCs w:val="28"/>
        </w:rPr>
        <w:t xml:space="preserve">32,45 </w:t>
      </w:r>
      <w:r w:rsidRPr="00047128">
        <w:rPr>
          <w:b/>
          <w:color w:val="262626"/>
          <w:sz w:val="28"/>
          <w:szCs w:val="28"/>
        </w:rPr>
        <w:t>м</w:t>
      </w:r>
      <w:r w:rsidRPr="00047128">
        <w:rPr>
          <w:b/>
          <w:color w:val="262626"/>
          <w:sz w:val="28"/>
          <w:szCs w:val="28"/>
          <w:vertAlign w:val="superscript"/>
        </w:rPr>
        <w:t>2</w:t>
      </w:r>
      <w:r w:rsidRPr="00047128">
        <w:rPr>
          <w:b/>
          <w:color w:val="262626"/>
          <w:sz w:val="28"/>
          <w:szCs w:val="28"/>
        </w:rPr>
        <w:t xml:space="preserve"> (7,4 м</w:t>
      </w:r>
      <w:r w:rsidRPr="00047128">
        <w:rPr>
          <w:b/>
          <w:color w:val="262626"/>
          <w:sz w:val="28"/>
          <w:szCs w:val="28"/>
          <w:vertAlign w:val="superscript"/>
        </w:rPr>
        <w:t>2</w:t>
      </w:r>
      <w:r w:rsidRPr="00047128">
        <w:rPr>
          <w:b/>
          <w:color w:val="262626"/>
          <w:sz w:val="28"/>
          <w:szCs w:val="28"/>
          <w:vertAlign w:val="superscript"/>
          <w:lang w:val="uk-UA"/>
        </w:rPr>
        <w:t xml:space="preserve"> </w:t>
      </w:r>
      <w:r w:rsidRPr="00047128">
        <w:rPr>
          <w:b/>
          <w:color w:val="262626"/>
          <w:sz w:val="28"/>
          <w:szCs w:val="28"/>
        </w:rPr>
        <w:t>та 25,0 м</w:t>
      </w:r>
      <w:r w:rsidRPr="00047128">
        <w:rPr>
          <w:b/>
          <w:color w:val="262626"/>
          <w:sz w:val="28"/>
          <w:szCs w:val="28"/>
          <w:vertAlign w:val="superscript"/>
        </w:rPr>
        <w:t>2</w:t>
      </w:r>
      <w:r w:rsidRPr="00047128">
        <w:rPr>
          <w:b/>
          <w:color w:val="262626"/>
          <w:sz w:val="28"/>
          <w:szCs w:val="28"/>
        </w:rPr>
        <w:t xml:space="preserve">) </w:t>
      </w:r>
      <w:r w:rsidRPr="00047128">
        <w:rPr>
          <w:b/>
          <w:color w:val="161616"/>
          <w:sz w:val="28"/>
          <w:szCs w:val="28"/>
        </w:rPr>
        <w:t>адресою:</w:t>
      </w:r>
      <w:r w:rsidRPr="00047128">
        <w:rPr>
          <w:b/>
          <w:color w:val="161616"/>
          <w:spacing w:val="1"/>
          <w:sz w:val="28"/>
          <w:szCs w:val="28"/>
        </w:rPr>
        <w:t xml:space="preserve"> </w:t>
      </w:r>
      <w:r w:rsidRPr="00047128">
        <w:rPr>
          <w:b/>
          <w:color w:val="131313"/>
          <w:sz w:val="28"/>
          <w:szCs w:val="28"/>
        </w:rPr>
        <w:t>Закарпатська</w:t>
      </w:r>
      <w:r w:rsidRPr="00047128">
        <w:rPr>
          <w:b/>
          <w:color w:val="131313"/>
          <w:spacing w:val="24"/>
          <w:sz w:val="28"/>
          <w:szCs w:val="28"/>
        </w:rPr>
        <w:t xml:space="preserve"> </w:t>
      </w:r>
      <w:r w:rsidRPr="00047128">
        <w:rPr>
          <w:b/>
          <w:color w:val="0A0A0A"/>
          <w:sz w:val="28"/>
          <w:szCs w:val="28"/>
        </w:rPr>
        <w:t>обл.,</w:t>
      </w:r>
      <w:r w:rsidRPr="00047128">
        <w:rPr>
          <w:b/>
          <w:color w:val="0A0A0A"/>
          <w:spacing w:val="12"/>
          <w:sz w:val="28"/>
          <w:szCs w:val="28"/>
        </w:rPr>
        <w:t xml:space="preserve"> </w:t>
      </w:r>
      <w:r w:rsidRPr="00047128">
        <w:rPr>
          <w:b/>
          <w:sz w:val="28"/>
          <w:szCs w:val="28"/>
        </w:rPr>
        <w:t>м.</w:t>
      </w:r>
      <w:r w:rsidRPr="00047128">
        <w:rPr>
          <w:b/>
          <w:spacing w:val="9"/>
          <w:sz w:val="28"/>
          <w:szCs w:val="28"/>
        </w:rPr>
        <w:t xml:space="preserve"> </w:t>
      </w:r>
      <w:r w:rsidRPr="00047128">
        <w:rPr>
          <w:b/>
          <w:color w:val="181818"/>
          <w:sz w:val="28"/>
          <w:szCs w:val="28"/>
        </w:rPr>
        <w:t>Ужгород,</w:t>
      </w:r>
      <w:r w:rsidRPr="00047128">
        <w:rPr>
          <w:b/>
          <w:color w:val="181818"/>
          <w:spacing w:val="21"/>
          <w:sz w:val="28"/>
          <w:szCs w:val="28"/>
        </w:rPr>
        <w:t xml:space="preserve"> </w:t>
      </w:r>
      <w:r w:rsidRPr="00047128">
        <w:rPr>
          <w:b/>
          <w:color w:val="0A0A0A"/>
          <w:sz w:val="28"/>
          <w:szCs w:val="28"/>
        </w:rPr>
        <w:t>вул.</w:t>
      </w:r>
      <w:r w:rsidRPr="00047128">
        <w:rPr>
          <w:b/>
          <w:color w:val="0A0A0A"/>
          <w:spacing w:val="5"/>
          <w:sz w:val="28"/>
          <w:szCs w:val="28"/>
        </w:rPr>
        <w:t xml:space="preserve"> </w:t>
      </w:r>
      <w:r w:rsidRPr="00047128">
        <w:rPr>
          <w:b/>
          <w:color w:val="161616"/>
          <w:sz w:val="28"/>
          <w:szCs w:val="28"/>
        </w:rPr>
        <w:t>Минайська,</w:t>
      </w:r>
      <w:r w:rsidRPr="00047128">
        <w:rPr>
          <w:b/>
          <w:color w:val="161616"/>
          <w:spacing w:val="37"/>
          <w:sz w:val="28"/>
          <w:szCs w:val="28"/>
        </w:rPr>
        <w:t xml:space="preserve"> </w:t>
      </w:r>
      <w:r w:rsidRPr="00047128">
        <w:rPr>
          <w:b/>
          <w:color w:val="131313"/>
          <w:sz w:val="28"/>
          <w:szCs w:val="28"/>
        </w:rPr>
        <w:t>40</w:t>
      </w:r>
    </w:p>
    <w:p w:rsidR="00200E9A" w:rsidRPr="00A60B2D" w:rsidRDefault="00200E9A" w:rsidP="00200E9A">
      <w:pPr>
        <w:jc w:val="both"/>
        <w:textAlignment w:val="baseline"/>
        <w:rPr>
          <w:color w:val="000000"/>
          <w:lang w:val="uk-UA" w:eastAsia="uk-UA"/>
        </w:rPr>
      </w:pPr>
    </w:p>
    <w:p w:rsidR="00200E9A" w:rsidRPr="00A60B2D" w:rsidRDefault="00200E9A" w:rsidP="00200E9A">
      <w:pPr>
        <w:ind w:left="720"/>
        <w:rPr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4060"/>
        <w:gridCol w:w="9"/>
      </w:tblGrid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bCs/>
                <w:color w:val="000000"/>
                <w:lang w:val="uk-UA"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047128" w:rsidRDefault="00200E9A" w:rsidP="003664DA">
            <w:pPr>
              <w:rPr>
                <w:lang w:val="uk-UA" w:eastAsia="uk-UA"/>
              </w:rPr>
            </w:pPr>
            <w:r w:rsidRPr="00047128">
              <w:rPr>
                <w:lang w:val="uk-UA"/>
              </w:rPr>
              <w:t>Ч</w:t>
            </w:r>
            <w:r w:rsidRPr="00047128">
              <w:t xml:space="preserve">астина даху </w:t>
            </w:r>
            <w:r w:rsidRPr="00047128">
              <w:rPr>
                <w:color w:val="0F0F0F"/>
              </w:rPr>
              <w:t xml:space="preserve">загальною </w:t>
            </w:r>
            <w:r w:rsidRPr="00047128">
              <w:rPr>
                <w:color w:val="1A1A1A"/>
              </w:rPr>
              <w:t xml:space="preserve">площею </w:t>
            </w:r>
            <w:r>
              <w:rPr>
                <w:color w:val="1D1D1D"/>
              </w:rPr>
              <w:t>32,4</w:t>
            </w:r>
            <w:r w:rsidRPr="00047128">
              <w:rPr>
                <w:color w:val="1D1D1D"/>
              </w:rPr>
              <w:t xml:space="preserve"> </w:t>
            </w:r>
            <w:r w:rsidRPr="00047128">
              <w:rPr>
                <w:color w:val="262626"/>
              </w:rPr>
              <w:t>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 xml:space="preserve"> (7,4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та 25,0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 xml:space="preserve">) </w:t>
            </w:r>
            <w:r>
              <w:rPr>
                <w:color w:val="262626"/>
                <w:lang w:val="uk-UA"/>
              </w:rPr>
              <w:t xml:space="preserve">за </w:t>
            </w:r>
            <w:r w:rsidRPr="00047128">
              <w:rPr>
                <w:color w:val="161616"/>
              </w:rPr>
              <w:t>адресою:</w:t>
            </w:r>
            <w:r w:rsidRPr="00047128">
              <w:rPr>
                <w:color w:val="161616"/>
                <w:spacing w:val="1"/>
              </w:rPr>
              <w:t xml:space="preserve"> </w:t>
            </w:r>
            <w:r w:rsidRPr="00047128">
              <w:rPr>
                <w:color w:val="131313"/>
              </w:rPr>
              <w:t>Закарпатська</w:t>
            </w:r>
            <w:r w:rsidRPr="00047128">
              <w:rPr>
                <w:color w:val="131313"/>
                <w:spacing w:val="24"/>
              </w:rPr>
              <w:t xml:space="preserve"> </w:t>
            </w:r>
            <w:r w:rsidRPr="00047128">
              <w:rPr>
                <w:color w:val="0A0A0A"/>
              </w:rPr>
              <w:t>обл.,</w:t>
            </w:r>
            <w:r w:rsidRPr="00047128">
              <w:rPr>
                <w:color w:val="0A0A0A"/>
                <w:spacing w:val="12"/>
              </w:rPr>
              <w:t xml:space="preserve"> </w:t>
            </w:r>
            <w:r w:rsidRPr="00047128">
              <w:t>м.</w:t>
            </w:r>
            <w:r w:rsidRPr="00047128">
              <w:rPr>
                <w:spacing w:val="9"/>
              </w:rPr>
              <w:t xml:space="preserve"> </w:t>
            </w:r>
            <w:r w:rsidRPr="00047128">
              <w:rPr>
                <w:color w:val="181818"/>
              </w:rPr>
              <w:t>Ужгород,</w:t>
            </w:r>
            <w:r w:rsidRPr="00047128">
              <w:rPr>
                <w:color w:val="181818"/>
                <w:spacing w:val="21"/>
              </w:rPr>
              <w:t xml:space="preserve"> </w:t>
            </w:r>
            <w:r w:rsidRPr="00047128">
              <w:rPr>
                <w:color w:val="0A0A0A"/>
              </w:rPr>
              <w:t>вул.</w:t>
            </w:r>
            <w:r w:rsidRPr="00047128">
              <w:rPr>
                <w:color w:val="0A0A0A"/>
                <w:spacing w:val="5"/>
              </w:rPr>
              <w:t xml:space="preserve"> </w:t>
            </w:r>
            <w:r w:rsidRPr="00047128">
              <w:rPr>
                <w:color w:val="161616"/>
              </w:rPr>
              <w:t>Минайська,</w:t>
            </w:r>
            <w:r w:rsidRPr="00047128">
              <w:rPr>
                <w:color w:val="161616"/>
                <w:spacing w:val="37"/>
              </w:rPr>
              <w:t xml:space="preserve"> </w:t>
            </w:r>
            <w:r w:rsidRPr="00047128">
              <w:rPr>
                <w:color w:val="131313"/>
              </w:rPr>
              <w:t>40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Орендодавець (назва, код ЄДРПОУ, місцезнаходження, контактна особа, контактний тел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:rsidR="00200E9A" w:rsidRPr="00A60B2D" w:rsidRDefault="00125D37" w:rsidP="003664DA">
            <w:pPr>
              <w:rPr>
                <w:lang w:val="uk-UA" w:eastAsia="uk-UA"/>
              </w:rPr>
            </w:pPr>
            <w:hyperlink r:id="rId7" w:history="1">
              <w:r w:rsidR="00200E9A" w:rsidRPr="00A60B2D">
                <w:rPr>
                  <w:rStyle w:val="a7"/>
                  <w:lang w:val="uk-UA" w:eastAsia="uk-UA"/>
                </w:rPr>
                <w:t>mail@uzh-rajrada.gov.ua</w:t>
              </w:r>
            </w:hyperlink>
            <w:r w:rsidR="00200E9A" w:rsidRPr="00A60B2D">
              <w:rPr>
                <w:lang w:val="uk-UA" w:eastAsia="uk-UA"/>
              </w:rPr>
              <w:t xml:space="preserve"> 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Балансоутримувач (назва, код ЄДРПОУ, місцезнаходження, контактна особа, контактний тел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:rsidR="00200E9A" w:rsidRPr="00A60B2D" w:rsidRDefault="00125D37" w:rsidP="003664DA">
            <w:pPr>
              <w:rPr>
                <w:lang w:val="uk-UA"/>
              </w:rPr>
            </w:pPr>
            <w:hyperlink r:id="rId8" w:history="1">
              <w:r w:rsidR="00200E9A" w:rsidRPr="00A60B2D">
                <w:rPr>
                  <w:rStyle w:val="a7"/>
                  <w:lang w:val="uk-UA" w:eastAsia="uk-UA"/>
                </w:rPr>
                <w:t>mail@uzh-rajrada.gov.ua</w:t>
              </w:r>
            </w:hyperlink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A60B2D">
              <w:rPr>
                <w:i/>
                <w:iCs/>
                <w:color w:val="000000"/>
                <w:shd w:val="clear" w:color="auto" w:fill="FFF2CC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Шелельо Віктор Борисович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тел. +380505159065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lang w:val="uk-UA" w:eastAsia="uk-UA"/>
              </w:rPr>
              <w:t>Інформація про об’єкт оренди</w:t>
            </w:r>
          </w:p>
        </w:tc>
      </w:tr>
      <w:tr w:rsidR="00200E9A" w:rsidRPr="00A60B2D" w:rsidTr="003664DA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Перелік першого  типу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Експертна оцінка вартості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1A07" w:rsidRDefault="00200E9A" w:rsidP="003664D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A61A07">
              <w:rPr>
                <w:lang w:val="uk-UA"/>
              </w:rPr>
              <w:t>691 480,00 грн (шістсот дев’яносто одна тисяча чотириста вісімдесят гривень 00 копійок)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Нерухоме майно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5 років</w:t>
            </w:r>
          </w:p>
        </w:tc>
      </w:tr>
      <w:tr w:rsidR="00200E9A" w:rsidRPr="00A60B2D" w:rsidTr="003664DA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lastRenderedPageBreak/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Не потребує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Без права суборенди</w:t>
            </w:r>
          </w:p>
          <w:p w:rsidR="00200E9A" w:rsidRPr="00A60B2D" w:rsidRDefault="00200E9A" w:rsidP="003664DA">
            <w:pPr>
              <w:rPr>
                <w:b/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Додаються окремим файлом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32,4</w:t>
            </w:r>
            <w:r w:rsidRPr="00A60B2D">
              <w:rPr>
                <w:lang w:val="uk-UA"/>
              </w:rPr>
              <w:t xml:space="preserve"> м</w:t>
            </w:r>
            <w:r w:rsidRPr="00A60B2D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(7,4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та 25,0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>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32,4</w:t>
            </w:r>
            <w:r w:rsidRPr="00A60B2D">
              <w:rPr>
                <w:lang w:val="uk-UA"/>
              </w:rPr>
              <w:t xml:space="preserve"> м</w:t>
            </w:r>
            <w:r w:rsidRPr="00A60B2D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(7,4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та 25,0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>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F519CB" w:rsidRDefault="00200E9A" w:rsidP="003664DA">
            <w:pPr>
              <w:rPr>
                <w:lang w:eastAsia="uk-UA"/>
              </w:rPr>
            </w:pPr>
            <w:r>
              <w:rPr>
                <w:lang w:val="uk-UA"/>
              </w:rPr>
              <w:t>Об</w:t>
            </w:r>
            <w:r w:rsidRPr="00F519CB">
              <w:t>’</w:t>
            </w:r>
            <w:r>
              <w:rPr>
                <w:lang w:val="uk-UA"/>
              </w:rPr>
              <w:t>єкт розташований в периферійній частині міста. Перебуває в задовільному технічному стані.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Технічний стан об’єкта</w:t>
            </w:r>
          </w:p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 xml:space="preserve">Технічний стан – </w:t>
            </w:r>
            <w:r>
              <w:rPr>
                <w:lang w:val="uk-UA"/>
              </w:rPr>
              <w:t>задовільний</w:t>
            </w: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Поверховий план об’єкта або план поверха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Додається окремим файлом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shd w:val="clear" w:color="auto" w:fill="FFFFFF"/>
                <w:lang w:val="uk-UA"/>
              </w:rPr>
              <w:t>Об’єкт оренди може бути використаний переможцем аукціону за будь-яким цільовим призначенням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b/>
                <w:lang w:val="uk-UA"/>
              </w:rPr>
            </w:pPr>
            <w:r w:rsidRPr="00A60B2D">
              <w:rPr>
                <w:lang w:val="uk-UA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Інформація про аукціон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Аукціон / аукціон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Електронний аукціон відбувається в електронній торговій системі Прозорро.Продажі через авторизовані електронні майданчики. </w:t>
            </w: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1% від експертної оцінки (</w:t>
            </w:r>
            <w:r>
              <w:rPr>
                <w:lang w:val="en-US"/>
              </w:rPr>
              <w:t>6914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80 </w:t>
            </w:r>
            <w:r w:rsidRPr="00A60B2D">
              <w:rPr>
                <w:lang w:val="uk-UA"/>
              </w:rPr>
              <w:t>грн)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7 </w:t>
            </w:r>
            <w:r w:rsidRPr="00A60B2D">
              <w:rPr>
                <w:color w:val="000000"/>
                <w:lang w:val="uk-UA" w:eastAsia="uk-UA"/>
              </w:rPr>
              <w:t>к.д.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зі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lang w:val="uk-UA"/>
              </w:rPr>
              <w:t>3 457,40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  <w:r w:rsidRPr="00A60B2D">
              <w:rPr>
                <w:color w:val="000000"/>
                <w:lang w:val="uk-UA" w:eastAsia="uk-UA"/>
              </w:rPr>
              <w:t xml:space="preserve"> к.д.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lang w:val="uk-UA"/>
              </w:rPr>
              <w:t>3 457,40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lastRenderedPageBreak/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7 </w:t>
            </w:r>
            <w:r w:rsidRPr="00A60B2D">
              <w:rPr>
                <w:color w:val="000000"/>
                <w:lang w:val="uk-UA" w:eastAsia="uk-UA"/>
              </w:rPr>
              <w:t xml:space="preserve"> к.д.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3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ПДВ не нараховується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1% від стартової орендної плати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Розмір гарантійного внеску встановлюється у розмірі стартової орендної плати на два місяці для об’єкта оренди, пропонований строк оренди яких становить до п’</w:t>
            </w:r>
            <w:r>
              <w:rPr>
                <w:lang w:val="uk-UA"/>
              </w:rPr>
              <w:t>яти років (13 883,60</w:t>
            </w:r>
            <w:r w:rsidRPr="00A60B2D">
              <w:rPr>
                <w:lang w:val="uk-UA"/>
              </w:rPr>
              <w:t xml:space="preserve"> грн.)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10% від мінімальної заробітної плати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реєстраційних внесків учасників</w:t>
            </w:r>
            <w:r w:rsidRPr="00A60B2D">
              <w:rPr>
                <w:color w:val="000000"/>
                <w:lang w:val="uk-UA" w:eastAsia="uk-UA"/>
              </w:rPr>
              <w:br/>
            </w:r>
            <w:r w:rsidRPr="00A60B2D">
              <w:rPr>
                <w:color w:val="000000"/>
                <w:lang w:val="uk-UA"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UA558999980314080544000007286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UA638999980314111905000007286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Додаткові умови оренди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Перелік додаткових умов оренди, з переліку, що визначений абз. 4 п. 55 Порядку передачі в оренду 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lastRenderedPageBreak/>
              <w:t>Додаткова інформація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Ремонт за окремим зверненням орендаря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Інформація про необхідність відповідності орендаря вимогам </w:t>
            </w:r>
            <w:hyperlink r:id="rId9" w:anchor="n120" w:history="1">
              <w:r w:rsidRPr="00A60B2D">
                <w:rPr>
                  <w:color w:val="000000"/>
                  <w:u w:val="single"/>
                  <w:lang w:val="uk-UA" w:eastAsia="uk-UA"/>
                </w:rPr>
                <w:t>статті 4</w:t>
              </w:r>
            </w:hyperlink>
            <w:r w:rsidRPr="00A60B2D">
              <w:rPr>
                <w:color w:val="000000"/>
                <w:lang w:val="uk-UA"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Відсутні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Інша додаткова інформація, визначена орендодавцем</w:t>
            </w:r>
          </w:p>
          <w:p w:rsidR="00200E9A" w:rsidRPr="00A60B2D" w:rsidRDefault="00200E9A" w:rsidP="003664DA">
            <w:pPr>
              <w:shd w:val="clear" w:color="auto" w:fill="FFFFFF"/>
              <w:spacing w:after="160"/>
              <w:ind w:left="1080" w:hanging="360"/>
              <w:jc w:val="both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/>
              </w:rPr>
              <w:t>Витрати з проведення незалежної оцінки майна покласти на переможця аукціону</w:t>
            </w:r>
          </w:p>
        </w:tc>
      </w:tr>
    </w:tbl>
    <w:p w:rsidR="00200E9A" w:rsidRPr="00B9631D" w:rsidRDefault="00200E9A" w:rsidP="00200E9A">
      <w:pPr>
        <w:shd w:val="clear" w:color="auto" w:fill="FFFFFF"/>
        <w:ind w:left="720"/>
        <w:jc w:val="both"/>
        <w:rPr>
          <w:lang w:eastAsia="uk-UA"/>
        </w:rPr>
      </w:pPr>
    </w:p>
    <w:p w:rsidR="00200E9A" w:rsidRPr="007E2292" w:rsidRDefault="00200E9A" w:rsidP="00200E9A">
      <w:pPr>
        <w:jc w:val="center"/>
        <w:rPr>
          <w:noProof/>
          <w:sz w:val="28"/>
          <w:szCs w:val="28"/>
        </w:rPr>
      </w:pPr>
    </w:p>
    <w:p w:rsidR="00A922CD" w:rsidRDefault="00A922CD"/>
    <w:sectPr w:rsidR="00A922CD" w:rsidSect="00846DAE">
      <w:headerReference w:type="even" r:id="rId10"/>
      <w:headerReference w:type="default" r:id="rId11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37" w:rsidRDefault="00125D37">
      <w:r>
        <w:separator/>
      </w:r>
    </w:p>
  </w:endnote>
  <w:endnote w:type="continuationSeparator" w:id="0">
    <w:p w:rsidR="00125D37" w:rsidRDefault="0012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37" w:rsidRDefault="00125D37">
      <w:r>
        <w:separator/>
      </w:r>
    </w:p>
  </w:footnote>
  <w:footnote w:type="continuationSeparator" w:id="0">
    <w:p w:rsidR="00125D37" w:rsidRDefault="0012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200E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99E" w:rsidRDefault="00125D3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125D3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29"/>
    <w:rsid w:val="00125D37"/>
    <w:rsid w:val="00200E9A"/>
    <w:rsid w:val="003A1762"/>
    <w:rsid w:val="006347E0"/>
    <w:rsid w:val="00A922CD"/>
    <w:rsid w:val="00F9799F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E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200E9A"/>
  </w:style>
  <w:style w:type="paragraph" w:styleId="a6">
    <w:name w:val="Normal (Web)"/>
    <w:basedOn w:val="a"/>
    <w:uiPriority w:val="99"/>
    <w:rsid w:val="00200E9A"/>
    <w:pPr>
      <w:spacing w:before="100" w:beforeAutospacing="1" w:after="100" w:afterAutospacing="1"/>
    </w:pPr>
  </w:style>
  <w:style w:type="character" w:styleId="a7">
    <w:name w:val="Hyperlink"/>
    <w:rsid w:val="00200E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E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E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200E9A"/>
  </w:style>
  <w:style w:type="paragraph" w:styleId="a6">
    <w:name w:val="Normal (Web)"/>
    <w:basedOn w:val="a"/>
    <w:uiPriority w:val="99"/>
    <w:rsid w:val="00200E9A"/>
    <w:pPr>
      <w:spacing w:before="100" w:beforeAutospacing="1" w:after="100" w:afterAutospacing="1"/>
    </w:pPr>
  </w:style>
  <w:style w:type="character" w:styleId="a7">
    <w:name w:val="Hyperlink"/>
    <w:rsid w:val="00200E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E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zh-rajrad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uzh-rajrada.gov.u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7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2025-11-21T10:02:00Z</cp:lastPrinted>
  <dcterms:created xsi:type="dcterms:W3CDTF">2025-12-18T09:13:00Z</dcterms:created>
  <dcterms:modified xsi:type="dcterms:W3CDTF">2025-12-18T09:13:00Z</dcterms:modified>
</cp:coreProperties>
</file>